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both"/>
      </w:pPr>
      <w:r w:rsidDel="00000000" w:rsidR="00000000" w:rsidRPr="00000000">
        <w:rPr>
          <w:sz w:val="50"/>
          <w:szCs w:val="50"/>
          <w:rtl w:val="0"/>
        </w:rPr>
        <w:t xml:space="preserve">Hallituksen paikkajako vuodelle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Puheenjohtaja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Sihteeri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Rahastonhoitaja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Varapuheenjohtaja ja koulutuspoliittinen 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Tiedotus-, ympäristö-, tasa-arvo- ja sosiaalipoliittinen 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Työelämä- ja alumnivastaava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Varainhankintavastaava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Tutor-, valmennuskurssi- ja ainejärjestötilavastaava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Tapahtuma- ja esteettömyysvastaava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Tapahtuma- ja esteettömyysvastaava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Kulttuurivastaava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Kansainvälisyys- ja kehitysyhteistyövastaava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Liikuntavastaava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0"/>
      <w:pgMar w:bottom="1417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632"/>
      </w:tabs>
      <w:spacing w:before="372" w:lineRule="auto"/>
      <w:contextualSpacing w:val="0"/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Iltakoulu ry</w:t>
    </w:r>
  </w:p>
  <w:p w:rsidR="00000000" w:rsidDel="00000000" w:rsidP="00000000" w:rsidRDefault="00000000" w:rsidRPr="00000000">
    <w:pPr>
      <w:tabs>
        <w:tab w:val="right" w:pos="9632"/>
      </w:tabs>
      <w:contextualSpacing w:val="0"/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Tampereen yliopiston politiikan tutkimuksen opiskelijoiden ainejärjestö</w:t>
      <w:tab/>
      <w:t xml:space="preserve">24.11.2016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Yhdistyksen sääntömääräinen syyskokous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632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Liite 4: Hallituksen paikkajako 2017</w:t>
    </w:r>
  </w:p>
  <w:p w:rsidR="00000000" w:rsidDel="00000000" w:rsidP="00000000" w:rsidRDefault="00000000" w:rsidRPr="00000000">
    <w:pPr>
      <w:tabs>
        <w:tab w:val="right" w:pos="9632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ab/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40" w:lineRule="auto"/>
    </w:pPr>
    <w:rPr>
      <w:rFonts w:ascii="Calibri" w:cs="Calibri" w:eastAsia="Calibri" w:hAnsi="Calibri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Calibri" w:cs="Calibri" w:eastAsia="Calibri" w:hAnsi="Calibri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